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49D537" w14:textId="4CDC5D48" w:rsidR="003063D3" w:rsidRPr="003063D3" w:rsidRDefault="003063D3" w:rsidP="003063D3">
      <w:pPr>
        <w:pStyle w:val="NormalWeb"/>
        <w:spacing w:before="0" w:beforeAutospacing="0" w:after="0" w:afterAutospacing="0"/>
        <w:rPr>
          <w:rFonts w:ascii="Arial" w:hAnsi="Arial" w:cs="Arial"/>
          <w:b/>
          <w:color w:val="C00000"/>
        </w:rPr>
      </w:pPr>
      <w:proofErr w:type="gramStart"/>
      <w:r w:rsidRPr="003063D3">
        <w:rPr>
          <w:rFonts w:ascii="Arial" w:hAnsi="Arial" w:cs="Arial"/>
          <w:b/>
          <w:color w:val="C00000"/>
        </w:rPr>
        <w:t>JOURNAL  WEEK</w:t>
      </w:r>
      <w:proofErr w:type="gramEnd"/>
      <w:r w:rsidRPr="003063D3">
        <w:rPr>
          <w:rFonts w:ascii="Arial" w:hAnsi="Arial" w:cs="Arial"/>
          <w:b/>
          <w:color w:val="C00000"/>
        </w:rPr>
        <w:t xml:space="preserve"> 8</w:t>
      </w:r>
    </w:p>
    <w:p w14:paraId="506E1B34" w14:textId="7359E8EE" w:rsidR="003063D3" w:rsidRPr="003063D3" w:rsidRDefault="003063D3" w:rsidP="003063D3">
      <w:pPr>
        <w:pStyle w:val="NormalWeb"/>
        <w:spacing w:before="0" w:beforeAutospacing="0" w:after="0" w:afterAutospacing="0"/>
        <w:rPr>
          <w:rFonts w:ascii="Arial" w:hAnsi="Arial" w:cs="Arial"/>
          <w:color w:val="C00000"/>
          <w:sz w:val="20"/>
          <w:szCs w:val="20"/>
        </w:rPr>
      </w:pPr>
      <w:r w:rsidRPr="003063D3">
        <w:rPr>
          <w:rFonts w:ascii="Arial" w:hAnsi="Arial" w:cs="Arial"/>
          <w:color w:val="C00000"/>
          <w:sz w:val="20"/>
          <w:szCs w:val="20"/>
        </w:rPr>
        <w:t xml:space="preserve">As we finish this course, name some marketing techniques and styles that you have encountered this week that demonstrate many of the strongpoints we learned in this course. Compare this to your journal entry from Unit I. </w:t>
      </w:r>
    </w:p>
    <w:p w14:paraId="2B166B44" w14:textId="475E2A37" w:rsidR="003063D3" w:rsidRDefault="003063D3" w:rsidP="003063D3">
      <w:pPr>
        <w:pStyle w:val="NormalWeb"/>
        <w:spacing w:before="0" w:beforeAutospacing="0" w:after="0" w:afterAutospacing="0"/>
        <w:rPr>
          <w:rFonts w:ascii="Arial" w:hAnsi="Arial" w:cs="Arial"/>
          <w:color w:val="C00000"/>
          <w:sz w:val="20"/>
          <w:szCs w:val="20"/>
        </w:rPr>
      </w:pPr>
      <w:r w:rsidRPr="003063D3">
        <w:rPr>
          <w:rFonts w:ascii="Arial" w:hAnsi="Arial" w:cs="Arial"/>
          <w:color w:val="C00000"/>
          <w:sz w:val="20"/>
          <w:szCs w:val="20"/>
        </w:rPr>
        <w:t xml:space="preserve">Your journal entry must be at least 200 words. No references or citations are necessary. </w:t>
      </w:r>
    </w:p>
    <w:p w14:paraId="02866B6F" w14:textId="77777777" w:rsidR="003063D3" w:rsidRDefault="003063D3" w:rsidP="003063D3">
      <w:pPr>
        <w:pStyle w:val="NormalWeb"/>
        <w:spacing w:before="0" w:beforeAutospacing="0" w:after="0" w:afterAutospacing="0"/>
        <w:rPr>
          <w:rFonts w:ascii="Arial" w:hAnsi="Arial" w:cs="Arial"/>
          <w:color w:val="C00000"/>
          <w:sz w:val="20"/>
          <w:szCs w:val="20"/>
        </w:rPr>
      </w:pPr>
    </w:p>
    <w:p w14:paraId="3114FF52" w14:textId="38BCA0CB" w:rsidR="003063D3" w:rsidRDefault="003063D3" w:rsidP="003063D3">
      <w:pPr>
        <w:pStyle w:val="NormalWeb"/>
        <w:spacing w:before="0" w:beforeAutospacing="0" w:after="0" w:afterAutospacing="0"/>
        <w:rPr>
          <w:rFonts w:ascii="Arial" w:hAnsi="Arial" w:cs="Arial"/>
          <w:color w:val="C00000"/>
          <w:sz w:val="20"/>
          <w:szCs w:val="20"/>
        </w:rPr>
      </w:pPr>
      <w:r>
        <w:rPr>
          <w:rFonts w:ascii="Arial" w:hAnsi="Arial" w:cs="Arial"/>
          <w:color w:val="C00000"/>
          <w:sz w:val="20"/>
          <w:szCs w:val="20"/>
        </w:rPr>
        <w:t>UNIT 1 ENTRY</w:t>
      </w:r>
    </w:p>
    <w:p w14:paraId="3771710D" w14:textId="77777777" w:rsidR="003063D3" w:rsidRDefault="003063D3" w:rsidP="003063D3">
      <w:pPr>
        <w:pStyle w:val="NormalWeb"/>
        <w:spacing w:before="0" w:beforeAutospacing="0" w:after="0" w:afterAutospacing="0"/>
        <w:rPr>
          <w:rFonts w:ascii="Arial" w:hAnsi="Arial" w:cs="Arial"/>
          <w:color w:val="C00000"/>
          <w:sz w:val="20"/>
          <w:szCs w:val="20"/>
        </w:rPr>
      </w:pPr>
    </w:p>
    <w:p w14:paraId="7B2ED810" w14:textId="4A8F54A2" w:rsidR="003063D3" w:rsidRPr="003063D3" w:rsidRDefault="003063D3" w:rsidP="003063D3">
      <w:pPr>
        <w:spacing w:after="0" w:line="400" w:lineRule="atLeast"/>
        <w:rPr>
          <w:rFonts w:ascii="Helvetica" w:eastAsia="Times New Roman" w:hAnsi="Helvetica" w:cs="Helvetica"/>
          <w:i/>
          <w:color w:val="2F5496" w:themeColor="accent1" w:themeShade="BF"/>
          <w:sz w:val="20"/>
          <w:szCs w:val="20"/>
        </w:rPr>
      </w:pPr>
      <w:r w:rsidRPr="003063D3">
        <w:rPr>
          <w:rFonts w:ascii="Tahoma" w:eastAsia="Times New Roman" w:hAnsi="Tahoma" w:cs="Tahoma"/>
          <w:i/>
          <w:color w:val="2F5496" w:themeColor="accent1" w:themeShade="BF"/>
          <w:sz w:val="20"/>
          <w:szCs w:val="20"/>
          <w:bdr w:val="none" w:sz="0" w:space="0" w:color="auto" w:frame="1"/>
        </w:rPr>
        <w:t>(</w:t>
      </w:r>
      <w:r w:rsidRPr="003063D3">
        <w:rPr>
          <w:rFonts w:ascii="Tahoma" w:eastAsia="Times New Roman" w:hAnsi="Tahoma" w:cs="Tahoma"/>
          <w:i/>
          <w:color w:val="2F5496" w:themeColor="accent1" w:themeShade="BF"/>
          <w:sz w:val="20"/>
          <w:szCs w:val="20"/>
          <w:bdr w:val="none" w:sz="0" w:space="0" w:color="auto" w:frame="1"/>
        </w:rPr>
        <w:t xml:space="preserve">PEST analysis provides steps that help entrepreneurs understand their business environment by analyzing the opportunities and threats that it presents. PepsiCo has been operating in my community for over two decades now. I would use PEST analysis to assist marketers in the following ways: </w:t>
      </w:r>
    </w:p>
    <w:p w14:paraId="4F23DF23" w14:textId="77777777" w:rsidR="003063D3" w:rsidRPr="003063D3" w:rsidRDefault="003063D3" w:rsidP="003063D3">
      <w:pPr>
        <w:spacing w:after="0" w:line="400" w:lineRule="atLeast"/>
        <w:rPr>
          <w:rFonts w:ascii="Helvetica" w:eastAsia="Times New Roman" w:hAnsi="Helvetica" w:cs="Helvetica"/>
          <w:i/>
          <w:color w:val="2F5496" w:themeColor="accent1" w:themeShade="BF"/>
          <w:sz w:val="20"/>
          <w:szCs w:val="20"/>
        </w:rPr>
      </w:pPr>
      <w:r w:rsidRPr="003063D3">
        <w:rPr>
          <w:rFonts w:ascii="Tahoma" w:eastAsia="Times New Roman" w:hAnsi="Tahoma" w:cs="Tahoma"/>
          <w:i/>
          <w:color w:val="2F5496" w:themeColor="accent1" w:themeShade="BF"/>
          <w:sz w:val="20"/>
          <w:szCs w:val="20"/>
          <w:bdr w:val="none" w:sz="0" w:space="0" w:color="auto" w:frame="1"/>
        </w:rPr>
        <w:t xml:space="preserve">First, political factors to consider include how the local, state or national election would affect its operations. This means that the company </w:t>
      </w:r>
      <w:proofErr w:type="gramStart"/>
      <w:r w:rsidRPr="003063D3">
        <w:rPr>
          <w:rFonts w:ascii="Tahoma" w:eastAsia="Times New Roman" w:hAnsi="Tahoma" w:cs="Tahoma"/>
          <w:i/>
          <w:color w:val="2F5496" w:themeColor="accent1" w:themeShade="BF"/>
          <w:sz w:val="20"/>
          <w:szCs w:val="20"/>
          <w:bdr w:val="none" w:sz="0" w:space="0" w:color="auto" w:frame="1"/>
        </w:rPr>
        <w:t>has to</w:t>
      </w:r>
      <w:proofErr w:type="gramEnd"/>
      <w:r w:rsidRPr="003063D3">
        <w:rPr>
          <w:rFonts w:ascii="Tahoma" w:eastAsia="Times New Roman" w:hAnsi="Tahoma" w:cs="Tahoma"/>
          <w:i/>
          <w:color w:val="2F5496" w:themeColor="accent1" w:themeShade="BF"/>
          <w:sz w:val="20"/>
          <w:szCs w:val="20"/>
          <w:bdr w:val="none" w:sz="0" w:space="0" w:color="auto" w:frame="1"/>
        </w:rPr>
        <w:t xml:space="preserve"> determine whether the change in government would affect the policies. </w:t>
      </w:r>
    </w:p>
    <w:p w14:paraId="2E342F56" w14:textId="77777777" w:rsidR="003063D3" w:rsidRPr="003063D3" w:rsidRDefault="003063D3" w:rsidP="003063D3">
      <w:pPr>
        <w:spacing w:after="0" w:line="240" w:lineRule="auto"/>
        <w:rPr>
          <w:rFonts w:ascii="Helvetica" w:eastAsia="Times New Roman" w:hAnsi="Helvetica" w:cs="Helvetica"/>
          <w:i/>
          <w:color w:val="2F5496" w:themeColor="accent1" w:themeShade="BF"/>
          <w:sz w:val="20"/>
          <w:szCs w:val="20"/>
        </w:rPr>
      </w:pPr>
      <w:r w:rsidRPr="003063D3">
        <w:rPr>
          <w:rFonts w:ascii="Tahoma" w:eastAsia="Times New Roman" w:hAnsi="Tahoma" w:cs="Tahoma"/>
          <w:i/>
          <w:color w:val="2F5496" w:themeColor="accent1" w:themeShade="BF"/>
          <w:sz w:val="20"/>
          <w:szCs w:val="20"/>
          <w:bdr w:val="none" w:sz="0" w:space="0" w:color="auto" w:frame="1"/>
        </w:rPr>
        <w:t xml:space="preserve">Secondly, economic factors to consider include the stability of the country’s economy; whether it is growing or declining. Thirdly, socio-cultural factors to consider include the population growth rate and age profile in the area. Also, consider how the generational attitude changes and how it can affect the operations of the business. </w:t>
      </w:r>
    </w:p>
    <w:p w14:paraId="22A53881" w14:textId="59CEBEC4" w:rsidR="003063D3" w:rsidRPr="003063D3" w:rsidRDefault="003063D3" w:rsidP="003063D3">
      <w:pPr>
        <w:spacing w:after="0" w:line="240" w:lineRule="auto"/>
        <w:rPr>
          <w:rFonts w:ascii="Helvetica" w:eastAsia="Times New Roman" w:hAnsi="Helvetica" w:cs="Helvetica"/>
          <w:i/>
          <w:color w:val="2F5496" w:themeColor="accent1" w:themeShade="BF"/>
          <w:sz w:val="20"/>
          <w:szCs w:val="20"/>
        </w:rPr>
      </w:pPr>
      <w:r w:rsidRPr="003063D3">
        <w:rPr>
          <w:rFonts w:ascii="Tahoma" w:eastAsia="Times New Roman" w:hAnsi="Tahoma" w:cs="Tahoma"/>
          <w:i/>
          <w:color w:val="2F5496" w:themeColor="accent1" w:themeShade="BF"/>
          <w:sz w:val="20"/>
          <w:szCs w:val="20"/>
          <w:bdr w:val="none" w:sz="0" w:space="0" w:color="auto" w:frame="1"/>
        </w:rPr>
        <w:t xml:space="preserve">Lastly, technological factors to consider include the emerging technologies that could be used in the production of soft drinks. Also, examine whether there are technologies that could redefine its products when accessed by competitors. </w:t>
      </w:r>
    </w:p>
    <w:p w14:paraId="37756AE8" w14:textId="116E2BB4" w:rsidR="003063D3" w:rsidRPr="003063D3" w:rsidRDefault="003063D3" w:rsidP="003063D3">
      <w:pPr>
        <w:spacing w:after="0" w:line="400" w:lineRule="atLeast"/>
        <w:rPr>
          <w:rFonts w:ascii="Helvetica" w:eastAsia="Times New Roman" w:hAnsi="Helvetica" w:cs="Helvetica"/>
          <w:i/>
          <w:color w:val="2F5496" w:themeColor="accent1" w:themeShade="BF"/>
          <w:sz w:val="20"/>
          <w:szCs w:val="20"/>
        </w:rPr>
      </w:pPr>
      <w:r w:rsidRPr="003063D3">
        <w:rPr>
          <w:rFonts w:ascii="Tahoma" w:eastAsia="Times New Roman" w:hAnsi="Tahoma" w:cs="Tahoma"/>
          <w:i/>
          <w:color w:val="2F5496" w:themeColor="accent1" w:themeShade="BF"/>
          <w:sz w:val="20"/>
          <w:szCs w:val="20"/>
          <w:bdr w:val="none" w:sz="0" w:space="0" w:color="auto" w:frame="1"/>
        </w:rPr>
        <w:t>Understanding all these factors will help PepsiCo see the big picture in the market environment. Unlike SWOT analysis that focuses on product-line and product level, PEST analysis provides a broader view of the factors that can affect the marketing decisions in the business.</w:t>
      </w:r>
      <w:r w:rsidRPr="003063D3">
        <w:rPr>
          <w:rFonts w:ascii="Tahoma" w:eastAsia="Times New Roman" w:hAnsi="Tahoma" w:cs="Tahoma"/>
          <w:i/>
          <w:color w:val="2F5496" w:themeColor="accent1" w:themeShade="BF"/>
          <w:sz w:val="20"/>
          <w:szCs w:val="20"/>
          <w:bdr w:val="none" w:sz="0" w:space="0" w:color="auto" w:frame="1"/>
        </w:rPr>
        <w:t>)</w:t>
      </w:r>
    </w:p>
    <w:p w14:paraId="78230F62" w14:textId="74120F18" w:rsidR="003063D3" w:rsidRPr="003063D3" w:rsidRDefault="003063D3" w:rsidP="003063D3">
      <w:pPr>
        <w:pStyle w:val="NormalWeb"/>
        <w:spacing w:before="0" w:beforeAutospacing="0" w:after="0" w:afterAutospacing="0"/>
        <w:rPr>
          <w:rFonts w:ascii="Arial" w:hAnsi="Arial" w:cs="Arial"/>
          <w:b/>
          <w:i/>
          <w:color w:val="C00000"/>
          <w:sz w:val="18"/>
          <w:szCs w:val="18"/>
        </w:rPr>
      </w:pPr>
    </w:p>
    <w:p w14:paraId="670F2445" w14:textId="77777777" w:rsidR="003063D3" w:rsidRDefault="003063D3" w:rsidP="003063D3">
      <w:pPr>
        <w:pStyle w:val="NormalWeb"/>
        <w:spacing w:before="0" w:beforeAutospacing="0" w:after="0" w:afterAutospacing="0"/>
        <w:rPr>
          <w:rFonts w:ascii="Arial" w:hAnsi="Arial" w:cs="Arial"/>
          <w:b/>
          <w:color w:val="C00000"/>
          <w:sz w:val="32"/>
          <w:szCs w:val="32"/>
        </w:rPr>
      </w:pPr>
    </w:p>
    <w:p w14:paraId="73DA0C85" w14:textId="5C208806" w:rsidR="003063D3" w:rsidRPr="003063D3" w:rsidRDefault="003063D3" w:rsidP="003063D3">
      <w:pPr>
        <w:pStyle w:val="NormalWeb"/>
        <w:spacing w:before="0" w:beforeAutospacing="0" w:after="0" w:afterAutospacing="0"/>
        <w:rPr>
          <w:rFonts w:ascii="Arial" w:hAnsi="Arial" w:cs="Arial"/>
          <w:b/>
          <w:color w:val="C00000"/>
          <w:sz w:val="32"/>
          <w:szCs w:val="32"/>
        </w:rPr>
      </w:pPr>
      <w:bookmarkStart w:id="0" w:name="_GoBack"/>
      <w:bookmarkEnd w:id="0"/>
      <w:r w:rsidRPr="003063D3">
        <w:rPr>
          <w:rFonts w:ascii="Arial" w:hAnsi="Arial" w:cs="Arial"/>
          <w:b/>
          <w:color w:val="C00000"/>
          <w:sz w:val="32"/>
          <w:szCs w:val="32"/>
        </w:rPr>
        <w:t>CASE STUDY Week 8</w:t>
      </w:r>
    </w:p>
    <w:p w14:paraId="1157E0DB" w14:textId="77777777" w:rsidR="003063D3" w:rsidRPr="003063D3" w:rsidRDefault="003063D3" w:rsidP="003063D3">
      <w:pPr>
        <w:pStyle w:val="assignmentbuttonline"/>
        <w:spacing w:before="0" w:beforeAutospacing="0" w:after="0" w:afterAutospacing="0"/>
        <w:rPr>
          <w:rFonts w:ascii="Helvetica" w:hAnsi="Helvetica" w:cs="Helvetica"/>
          <w:color w:val="C00000"/>
          <w:sz w:val="21"/>
          <w:szCs w:val="21"/>
        </w:rPr>
      </w:pPr>
    </w:p>
    <w:p w14:paraId="3EBC4653" w14:textId="77777777" w:rsidR="003063D3" w:rsidRPr="003063D3" w:rsidRDefault="003063D3" w:rsidP="003063D3">
      <w:pPr>
        <w:spacing w:after="0" w:line="240" w:lineRule="auto"/>
        <w:rPr>
          <w:rFonts w:ascii="Helvetica" w:eastAsia="Times New Roman" w:hAnsi="Helvetica" w:cs="Helvetica"/>
          <w:color w:val="C00000"/>
          <w:sz w:val="21"/>
          <w:szCs w:val="21"/>
        </w:rPr>
      </w:pPr>
      <w:r w:rsidRPr="003063D3">
        <w:rPr>
          <w:rFonts w:ascii="Helvetica" w:eastAsia="Times New Roman" w:hAnsi="Helvetica" w:cs="Helvetica"/>
          <w:color w:val="C00000"/>
          <w:sz w:val="21"/>
          <w:szCs w:val="21"/>
          <w:u w:val="single"/>
        </w:rPr>
        <w:t>Option 2: Gillette (pp. 612–613)</w:t>
      </w:r>
      <w:r w:rsidRPr="003063D3">
        <w:rPr>
          <w:rFonts w:ascii="Helvetica" w:eastAsia="Times New Roman" w:hAnsi="Helvetica" w:cs="Helvetica"/>
          <w:color w:val="C00000"/>
          <w:sz w:val="21"/>
          <w:szCs w:val="21"/>
        </w:rPr>
        <w:t xml:space="preserve"> </w:t>
      </w:r>
    </w:p>
    <w:p w14:paraId="57E2C447" w14:textId="77777777" w:rsidR="003063D3" w:rsidRPr="003063D3" w:rsidRDefault="003063D3" w:rsidP="003063D3">
      <w:pPr>
        <w:numPr>
          <w:ilvl w:val="0"/>
          <w:numId w:val="1"/>
        </w:numPr>
        <w:spacing w:after="0" w:line="240" w:lineRule="auto"/>
        <w:ind w:left="0"/>
        <w:rPr>
          <w:rFonts w:ascii="Helvetica" w:eastAsia="Times New Roman" w:hAnsi="Helvetica" w:cs="Helvetica"/>
          <w:color w:val="C00000"/>
          <w:sz w:val="21"/>
          <w:szCs w:val="21"/>
        </w:rPr>
      </w:pPr>
      <w:r w:rsidRPr="003063D3">
        <w:rPr>
          <w:rFonts w:ascii="Helvetica" w:eastAsia="Times New Roman" w:hAnsi="Helvetica" w:cs="Helvetica"/>
          <w:color w:val="C00000"/>
          <w:sz w:val="21"/>
          <w:szCs w:val="21"/>
        </w:rPr>
        <w:t xml:space="preserve">Gillette has successfully convinced the world that more is better in terms of number of blades and other razor features. How did they do it? Why has that worked in the past? Will it continue to work in the future? Why, or why not? Will Gillette ever become as successful at marketing to women as to men? Why, or why not? </w:t>
      </w:r>
    </w:p>
    <w:p w14:paraId="3190C7BD" w14:textId="77777777" w:rsidR="003063D3" w:rsidRPr="003063D3" w:rsidRDefault="003063D3" w:rsidP="003063D3">
      <w:pPr>
        <w:numPr>
          <w:ilvl w:val="0"/>
          <w:numId w:val="1"/>
        </w:numPr>
        <w:spacing w:after="0" w:line="240" w:lineRule="auto"/>
        <w:ind w:left="0"/>
        <w:rPr>
          <w:rFonts w:ascii="Helvetica" w:eastAsia="Times New Roman" w:hAnsi="Helvetica" w:cs="Helvetica"/>
          <w:color w:val="C00000"/>
          <w:sz w:val="21"/>
          <w:szCs w:val="21"/>
        </w:rPr>
      </w:pPr>
      <w:r w:rsidRPr="003063D3">
        <w:rPr>
          <w:rFonts w:ascii="Helvetica" w:eastAsia="Times New Roman" w:hAnsi="Helvetica" w:cs="Helvetica"/>
          <w:color w:val="C00000"/>
          <w:sz w:val="21"/>
          <w:szCs w:val="21"/>
        </w:rPr>
        <w:t xml:space="preserve">Why have Gillette’s sports marketing partnerships been so successful in developing their brand equity? </w:t>
      </w:r>
    </w:p>
    <w:p w14:paraId="1A4B5F60" w14:textId="77777777" w:rsidR="003063D3" w:rsidRPr="003063D3" w:rsidRDefault="003063D3" w:rsidP="003063D3">
      <w:pPr>
        <w:numPr>
          <w:ilvl w:val="0"/>
          <w:numId w:val="1"/>
        </w:numPr>
        <w:spacing w:after="0" w:line="240" w:lineRule="auto"/>
        <w:ind w:left="0"/>
        <w:rPr>
          <w:rFonts w:ascii="Helvetica" w:eastAsia="Times New Roman" w:hAnsi="Helvetica" w:cs="Helvetica"/>
          <w:color w:val="C00000"/>
          <w:sz w:val="21"/>
          <w:szCs w:val="21"/>
        </w:rPr>
      </w:pPr>
      <w:r w:rsidRPr="003063D3">
        <w:rPr>
          <w:rFonts w:ascii="Helvetica" w:eastAsia="Times New Roman" w:hAnsi="Helvetica" w:cs="Helvetica"/>
          <w:color w:val="C00000"/>
          <w:sz w:val="21"/>
          <w:szCs w:val="21"/>
        </w:rPr>
        <w:t xml:space="preserve">Some of Gillette’s spokespeople such as Derek Jeter and Tiger Woods have run into controversy after becoming endorsers for the brand. Does this hurt Gillette’s brand equity or marketing message? Explain. </w:t>
      </w:r>
    </w:p>
    <w:p w14:paraId="5896A4D0" w14:textId="77777777" w:rsidR="003063D3" w:rsidRPr="003063D3" w:rsidRDefault="003063D3" w:rsidP="003063D3">
      <w:pPr>
        <w:numPr>
          <w:ilvl w:val="0"/>
          <w:numId w:val="1"/>
        </w:numPr>
        <w:spacing w:after="0" w:line="240" w:lineRule="auto"/>
        <w:ind w:left="0"/>
        <w:rPr>
          <w:rFonts w:ascii="Helvetica" w:eastAsia="Times New Roman" w:hAnsi="Helvetica" w:cs="Helvetica"/>
          <w:color w:val="C00000"/>
          <w:sz w:val="21"/>
          <w:szCs w:val="21"/>
        </w:rPr>
      </w:pPr>
      <w:r w:rsidRPr="003063D3">
        <w:rPr>
          <w:rFonts w:ascii="Helvetica" w:eastAsia="Times New Roman" w:hAnsi="Helvetica" w:cs="Helvetica"/>
          <w:color w:val="C00000"/>
          <w:sz w:val="21"/>
          <w:szCs w:val="21"/>
        </w:rPr>
        <w:t xml:space="preserve">Discuss the effectiveness of their overall marketing campaign including advertising, personal selling, promotion, events, and public relations strategies. </w:t>
      </w:r>
    </w:p>
    <w:p w14:paraId="263DAF95" w14:textId="4F289F5A" w:rsidR="003063D3" w:rsidRPr="003063D3" w:rsidRDefault="003063D3" w:rsidP="003063D3">
      <w:pPr>
        <w:numPr>
          <w:ilvl w:val="0"/>
          <w:numId w:val="1"/>
        </w:numPr>
        <w:spacing w:after="0" w:line="240" w:lineRule="auto"/>
        <w:ind w:left="0"/>
        <w:rPr>
          <w:rFonts w:ascii="Helvetica" w:eastAsia="Times New Roman" w:hAnsi="Helvetica" w:cs="Helvetica"/>
          <w:color w:val="C00000"/>
          <w:sz w:val="21"/>
          <w:szCs w:val="21"/>
        </w:rPr>
      </w:pPr>
      <w:r w:rsidRPr="003063D3">
        <w:rPr>
          <w:rFonts w:ascii="Helvetica" w:eastAsia="Times New Roman" w:hAnsi="Helvetica" w:cs="Helvetica"/>
          <w:color w:val="C00000"/>
          <w:sz w:val="21"/>
          <w:szCs w:val="21"/>
        </w:rPr>
        <w:t xml:space="preserve">Recommend next steps for Gillette with respect to their marketing and advertising strategies. </w:t>
      </w:r>
    </w:p>
    <w:p w14:paraId="64761137" w14:textId="77777777" w:rsidR="003063D3" w:rsidRPr="003063D3" w:rsidRDefault="003063D3" w:rsidP="003063D3">
      <w:pPr>
        <w:spacing w:after="0" w:line="240" w:lineRule="auto"/>
        <w:rPr>
          <w:rFonts w:ascii="Helvetica" w:eastAsia="Times New Roman" w:hAnsi="Helvetica" w:cs="Helvetica"/>
          <w:color w:val="C00000"/>
          <w:sz w:val="21"/>
          <w:szCs w:val="21"/>
        </w:rPr>
      </w:pPr>
    </w:p>
    <w:p w14:paraId="4EB67961" w14:textId="2249F9AB" w:rsidR="003063D3" w:rsidRPr="003063D3" w:rsidRDefault="003063D3" w:rsidP="003063D3">
      <w:pPr>
        <w:spacing w:after="0" w:line="240" w:lineRule="auto"/>
        <w:rPr>
          <w:rFonts w:ascii="Helvetica" w:eastAsia="Times New Roman" w:hAnsi="Helvetica" w:cs="Helvetica"/>
          <w:color w:val="C00000"/>
          <w:sz w:val="21"/>
          <w:szCs w:val="21"/>
        </w:rPr>
      </w:pPr>
    </w:p>
    <w:p w14:paraId="0AFBE107" w14:textId="22E53B82" w:rsidR="003063D3" w:rsidRPr="003063D3" w:rsidRDefault="003063D3" w:rsidP="003063D3">
      <w:pPr>
        <w:spacing w:after="0" w:line="240" w:lineRule="auto"/>
        <w:rPr>
          <w:rFonts w:ascii="Helvetica" w:eastAsia="Times New Roman" w:hAnsi="Helvetica" w:cs="Helvetica"/>
          <w:color w:val="C00000"/>
          <w:sz w:val="21"/>
          <w:szCs w:val="21"/>
        </w:rPr>
      </w:pPr>
      <w:r w:rsidRPr="003063D3">
        <w:rPr>
          <w:rFonts w:ascii="Helvetica" w:hAnsi="Helvetica" w:cs="Helvetica"/>
          <w:color w:val="C00000"/>
          <w:sz w:val="21"/>
          <w:szCs w:val="21"/>
        </w:rPr>
        <w:t xml:space="preserve">In formatting your case analysis, do not use the question-and-answer format; instead, use an essay format with subheadings. Your APA-formatted case study should be a minimum of 500 words in length (not counting the title and reference pages). You are required to use a minimum of three peer-reviewed, academic sources that are no more than 5 years old (one may be your textbook). All </w:t>
      </w:r>
      <w:r w:rsidRPr="003063D3">
        <w:rPr>
          <w:rFonts w:ascii="Helvetica" w:hAnsi="Helvetica" w:cs="Helvetica"/>
          <w:color w:val="C00000"/>
          <w:sz w:val="21"/>
          <w:szCs w:val="21"/>
        </w:rPr>
        <w:lastRenderedPageBreak/>
        <w:t>sources used, including the textbook, must be referenced; paraphrased material must have accompanying in-text citations.</w:t>
      </w:r>
    </w:p>
    <w:p w14:paraId="5117D493" w14:textId="1A42FCC5" w:rsidR="003063D3" w:rsidRPr="003063D3" w:rsidRDefault="003063D3" w:rsidP="003063D3">
      <w:pPr>
        <w:rPr>
          <w:color w:val="C00000"/>
        </w:rPr>
      </w:pPr>
    </w:p>
    <w:p w14:paraId="513B35A7" w14:textId="77777777" w:rsidR="003063D3" w:rsidRPr="003063D3" w:rsidRDefault="003063D3" w:rsidP="003063D3">
      <w:pPr>
        <w:keepNext/>
        <w:spacing w:after="0" w:line="356" w:lineRule="atLeast"/>
        <w:textAlignment w:val="baseline"/>
        <w:outlineLvl w:val="0"/>
        <w:rPr>
          <w:rFonts w:ascii="Arial" w:eastAsia="Times New Roman" w:hAnsi="Arial" w:cs="Arial"/>
          <w:b/>
          <w:bCs/>
          <w:color w:val="CC6600"/>
          <w:kern w:val="36"/>
          <w:sz w:val="20"/>
          <w:szCs w:val="20"/>
        </w:rPr>
      </w:pPr>
      <w:r w:rsidRPr="003063D3">
        <w:rPr>
          <w:rFonts w:ascii="Arial" w:eastAsia="Times New Roman" w:hAnsi="Arial" w:cs="Arial"/>
          <w:b/>
          <w:bCs/>
          <w:color w:val="CC6600"/>
          <w:kern w:val="36"/>
          <w:sz w:val="20"/>
          <w:szCs w:val="20"/>
          <w:bdr w:val="none" w:sz="0" w:space="0" w:color="auto" w:frame="1"/>
        </w:rPr>
        <w:t xml:space="preserve">Marketing Excellence </w:t>
      </w:r>
      <w:r w:rsidRPr="003063D3">
        <w:rPr>
          <w:rFonts w:ascii="Arial" w:eastAsia="Times New Roman" w:hAnsi="Arial" w:cs="Arial"/>
          <w:b/>
          <w:bCs/>
          <w:color w:val="CC6600"/>
          <w:kern w:val="36"/>
          <w:sz w:val="20"/>
          <w:szCs w:val="20"/>
        </w:rPr>
        <w:t>Gillette</w:t>
      </w:r>
    </w:p>
    <w:p w14:paraId="3A1390B0" w14:textId="77777777" w:rsidR="003063D3" w:rsidRDefault="003063D3" w:rsidP="003063D3">
      <w:pPr>
        <w:spacing w:after="360" w:line="360" w:lineRule="atLeast"/>
        <w:textAlignment w:val="baseline"/>
        <w:rPr>
          <w:rFonts w:ascii="Arial" w:eastAsia="Times New Roman" w:hAnsi="Arial" w:cs="Arial"/>
          <w:sz w:val="20"/>
          <w:szCs w:val="20"/>
        </w:rPr>
      </w:pPr>
      <w:r w:rsidRPr="003063D3">
        <w:rPr>
          <w:rFonts w:ascii="Arial" w:eastAsia="Times New Roman" w:hAnsi="Arial" w:cs="Arial"/>
          <w:sz w:val="20"/>
          <w:szCs w:val="20"/>
        </w:rPr>
        <w:t>Gillette knows men. Not only does the company understand what products men desire for their grooming needs; it understands how to market to men in different countries, cultures, and languages around the world. Today, Gillette holds a commanding lead in the shaving and razor business with a 70 percent global market share and $8 billion in annual sales. More than 800 million men use Gillette products, helping to generate a brand value of $22.9 billion. Gillette’s mass appeal is a result of several factors, including high-quality innovation, extensive consumer research, and successful mass communications.</w:t>
      </w:r>
    </w:p>
    <w:p w14:paraId="20DFBCF8" w14:textId="5353348B" w:rsidR="003063D3" w:rsidRPr="003063D3" w:rsidRDefault="003063D3" w:rsidP="003063D3">
      <w:pPr>
        <w:spacing w:after="360" w:line="360" w:lineRule="atLeast"/>
        <w:textAlignment w:val="baseline"/>
        <w:rPr>
          <w:rFonts w:ascii="Arial" w:eastAsia="Times New Roman" w:hAnsi="Arial" w:cs="Arial"/>
          <w:sz w:val="20"/>
          <w:szCs w:val="20"/>
        </w:rPr>
      </w:pPr>
      <w:r w:rsidRPr="003063D3">
        <w:rPr>
          <w:rFonts w:ascii="Arial" w:eastAsia="Times New Roman" w:hAnsi="Arial" w:cs="Arial"/>
          <w:sz w:val="20"/>
          <w:szCs w:val="20"/>
        </w:rPr>
        <w:t xml:space="preserve">Since the invention of the safety razor by King C. Gillette in 1901, Gillette has made </w:t>
      </w:r>
      <w:proofErr w:type="gramStart"/>
      <w:r w:rsidRPr="003063D3">
        <w:rPr>
          <w:rFonts w:ascii="Arial" w:eastAsia="Times New Roman" w:hAnsi="Arial" w:cs="Arial"/>
          <w:sz w:val="20"/>
          <w:szCs w:val="20"/>
        </w:rPr>
        <w:t>a number of</w:t>
      </w:r>
      <w:proofErr w:type="gramEnd"/>
      <w:r w:rsidRPr="003063D3">
        <w:rPr>
          <w:rFonts w:ascii="Arial" w:eastAsia="Times New Roman" w:hAnsi="Arial" w:cs="Arial"/>
          <w:sz w:val="20"/>
          <w:szCs w:val="20"/>
        </w:rPr>
        <w:t xml:space="preserve"> breakthrough product innovations. These include the Trac II, the first twin-blade shaving system in 1971, a razor with a pivoting head called the </w:t>
      </w:r>
      <w:proofErr w:type="spellStart"/>
      <w:r w:rsidRPr="003063D3">
        <w:rPr>
          <w:rFonts w:ascii="Arial" w:eastAsia="Times New Roman" w:hAnsi="Arial" w:cs="Arial"/>
          <w:sz w:val="20"/>
          <w:szCs w:val="20"/>
        </w:rPr>
        <w:t>Atra</w:t>
      </w:r>
      <w:proofErr w:type="spellEnd"/>
      <w:r w:rsidRPr="003063D3">
        <w:rPr>
          <w:rFonts w:ascii="Arial" w:eastAsia="Times New Roman" w:hAnsi="Arial" w:cs="Arial"/>
          <w:sz w:val="20"/>
          <w:szCs w:val="20"/>
        </w:rPr>
        <w:t xml:space="preserve"> in 1977, and the first razor with spring-mounted twin blades dubbed the Sensor in 1989. In 1998, Gillette introduced the first triple-blade system, Mach3, which became a billion-dollar brand surpassed only by the 2006 launch of the six-blade Fusion, promoted as “the best shave on the planet.” Today, the Fusion and Fusion </w:t>
      </w:r>
      <w:proofErr w:type="spellStart"/>
      <w:r w:rsidRPr="003063D3">
        <w:rPr>
          <w:rFonts w:ascii="Arial" w:eastAsia="Times New Roman" w:hAnsi="Arial" w:cs="Arial"/>
          <w:sz w:val="20"/>
          <w:szCs w:val="20"/>
        </w:rPr>
        <w:t>ProGlide</w:t>
      </w:r>
      <w:proofErr w:type="spellEnd"/>
      <w:r w:rsidRPr="003063D3">
        <w:rPr>
          <w:rFonts w:ascii="Arial" w:eastAsia="Times New Roman" w:hAnsi="Arial" w:cs="Arial"/>
          <w:sz w:val="20"/>
          <w:szCs w:val="20"/>
        </w:rPr>
        <w:t xml:space="preserve"> account for approximately 45 percent of men’s razors sold in the United States.</w:t>
      </w:r>
    </w:p>
    <w:p w14:paraId="42613303" w14:textId="77777777" w:rsidR="003063D3" w:rsidRPr="003063D3" w:rsidRDefault="003063D3" w:rsidP="003063D3">
      <w:pPr>
        <w:spacing w:after="360" w:line="360" w:lineRule="atLeast"/>
        <w:textAlignment w:val="baseline"/>
        <w:rPr>
          <w:rFonts w:ascii="Arial" w:eastAsia="Times New Roman" w:hAnsi="Arial" w:cs="Arial"/>
          <w:sz w:val="20"/>
          <w:szCs w:val="20"/>
        </w:rPr>
      </w:pPr>
      <w:r w:rsidRPr="003063D3">
        <w:rPr>
          <w:rFonts w:ascii="Arial" w:eastAsia="Times New Roman" w:hAnsi="Arial" w:cs="Arial"/>
          <w:sz w:val="20"/>
          <w:szCs w:val="20"/>
        </w:rPr>
        <w:t>While Gillette has launched high-quality products, the company’s impressive marketing knowledge and mass marketing campaigns have helped it achieve international success. Traditionally, it uses one global marketing message rather than individual targeted messages for each country or region. This message is backed by a wide spectrum of advertising support, including athletic sponsorships, television campaigns, in-store promotions, print ads, online advertising, and direct marketing.</w:t>
      </w:r>
    </w:p>
    <w:p w14:paraId="244A51F8" w14:textId="77F7E3DA" w:rsidR="003063D3" w:rsidRDefault="003063D3" w:rsidP="003063D3">
      <w:pPr>
        <w:spacing w:after="360" w:line="360" w:lineRule="atLeast"/>
        <w:textAlignment w:val="baseline"/>
        <w:rPr>
          <w:rFonts w:ascii="Arial" w:eastAsia="Times New Roman" w:hAnsi="Arial" w:cs="Arial"/>
          <w:sz w:val="20"/>
          <w:szCs w:val="20"/>
        </w:rPr>
      </w:pPr>
      <w:r w:rsidRPr="003063D3">
        <w:rPr>
          <w:rFonts w:ascii="Arial" w:eastAsia="Times New Roman" w:hAnsi="Arial" w:cs="Arial"/>
          <w:sz w:val="20"/>
          <w:szCs w:val="20"/>
        </w:rPr>
        <w:t xml:space="preserve">Perhaps the most critical element is sports marketing. Gillette ads have featured baseball heroes such as Hank Aaron, Mickey Mantle, and </w:t>
      </w:r>
      <w:proofErr w:type="spellStart"/>
      <w:r w:rsidRPr="003063D3">
        <w:rPr>
          <w:rFonts w:ascii="Arial" w:eastAsia="Times New Roman" w:hAnsi="Arial" w:cs="Arial"/>
          <w:sz w:val="20"/>
          <w:szCs w:val="20"/>
        </w:rPr>
        <w:t>Honus</w:t>
      </w:r>
      <w:proofErr w:type="spellEnd"/>
      <w:r w:rsidRPr="003063D3">
        <w:rPr>
          <w:rFonts w:ascii="Arial" w:eastAsia="Times New Roman" w:hAnsi="Arial" w:cs="Arial"/>
          <w:sz w:val="20"/>
          <w:szCs w:val="20"/>
        </w:rPr>
        <w:t xml:space="preserve"> Wagner since 1910, and the company’s sponsorship of Major League Baseball dates to 1939. The brand’s natural fit with baseball and tradition has helped the company connect emotionally and literally with its core audience. Tim </w:t>
      </w:r>
      <w:proofErr w:type="spellStart"/>
      <w:r w:rsidRPr="003063D3">
        <w:rPr>
          <w:rFonts w:ascii="Arial" w:eastAsia="Times New Roman" w:hAnsi="Arial" w:cs="Arial"/>
          <w:sz w:val="20"/>
          <w:szCs w:val="20"/>
        </w:rPr>
        <w:t>Brosnan</w:t>
      </w:r>
      <w:proofErr w:type="spellEnd"/>
      <w:r w:rsidRPr="003063D3">
        <w:rPr>
          <w:rFonts w:ascii="Arial" w:eastAsia="Times New Roman" w:hAnsi="Arial" w:cs="Arial"/>
          <w:sz w:val="20"/>
          <w:szCs w:val="20"/>
        </w:rPr>
        <w:t xml:space="preserve">, EVP for Major League Baseball, explains, “Gillette is a sports marketing pioneer that paved the way for modern day sports sponsorship and endorsements.” Gillette has formed strong ties to football as well. The company has sponsored the Orange Bowl, Sugar Bowl, Cotton Bowl, and Rose Bowl. Today, it spends $7 million annually to sponsor Gillette Stadium, home of the New England Patriots, and is a corporate sponsor of the </w:t>
      </w:r>
      <w:proofErr w:type="spellStart"/>
      <w:r w:rsidRPr="003063D3">
        <w:rPr>
          <w:rFonts w:ascii="Arial" w:eastAsia="Times New Roman" w:hAnsi="Arial" w:cs="Arial"/>
          <w:sz w:val="20"/>
          <w:szCs w:val="20"/>
        </w:rPr>
        <w:t>NFL.Gillette</w:t>
      </w:r>
      <w:proofErr w:type="spellEnd"/>
      <w:r w:rsidRPr="003063D3">
        <w:rPr>
          <w:rFonts w:ascii="Arial" w:eastAsia="Times New Roman" w:hAnsi="Arial" w:cs="Arial"/>
          <w:sz w:val="20"/>
          <w:szCs w:val="20"/>
        </w:rPr>
        <w:t xml:space="preserve"> has also sponsored boxing matches, NCAA Basketball, NCAA Football, NASCAR, PGA Tour, Champions Tour, LPGA Tour, and the National Hockey League. Internationally, the company has sponsored events such as the FIFA World Cup, the UK Tri-Nations rugby tournament, the Gillette Cup in </w:t>
      </w:r>
      <w:r w:rsidRPr="003063D3">
        <w:rPr>
          <w:rFonts w:ascii="Arial" w:eastAsia="Times New Roman" w:hAnsi="Arial" w:cs="Arial"/>
          <w:sz w:val="20"/>
          <w:szCs w:val="20"/>
        </w:rPr>
        <w:lastRenderedPageBreak/>
        <w:t xml:space="preserve">Cricket, and Formula One racing. Greg Via, Global Director of Sports Marketing, explains, “We have an 18-month cycle that starts with a brand strategy. We produce a lot of products on a global basis, and we try to holistically leverage our major partnerships. That requires a lot of planning and work. We’re not a company that is going to leverage a partnership with one commercial and one SKU. We wrap our arms around a partnership with TV, digital, social media and in-store promotions.” The company often integrates creativity into its sponsorships as well. For example, it transformed Zambonis into giant Fusion razors at NHL games to create the illusion that a Gillette razor had just given the ice a perfectly smooth </w:t>
      </w:r>
      <w:proofErr w:type="spellStart"/>
      <w:proofErr w:type="gramStart"/>
      <w:r w:rsidRPr="003063D3">
        <w:rPr>
          <w:rFonts w:ascii="Arial" w:eastAsia="Times New Roman" w:hAnsi="Arial" w:cs="Arial"/>
          <w:sz w:val="20"/>
          <w:szCs w:val="20"/>
        </w:rPr>
        <w:t>shave.Gillette</w:t>
      </w:r>
      <w:proofErr w:type="spellEnd"/>
      <w:proofErr w:type="gramEnd"/>
      <w:r w:rsidRPr="003063D3">
        <w:rPr>
          <w:rFonts w:ascii="Arial" w:eastAsia="Times New Roman" w:hAnsi="Arial" w:cs="Arial"/>
          <w:sz w:val="20"/>
          <w:szCs w:val="20"/>
        </w:rPr>
        <w:t xml:space="preserve"> also partners with individual athletes to communicate its marketing messages and reflect the brand’s image. In 2004, the company signed soccer star David Beckham to appear in its advertising and promotional campaigns around the world. In 2007, it launched the Gillette Champions program, highlighting the athletic accomplishments of Roger Federer, Thierry Henry, and Tiger Woods. It has featured baseball superstar Derek Jeter, soccer star Park Ji-Sung, motorcycle champion Kenan </w:t>
      </w:r>
      <w:proofErr w:type="spellStart"/>
      <w:r w:rsidRPr="003063D3">
        <w:rPr>
          <w:rFonts w:ascii="Arial" w:eastAsia="Times New Roman" w:hAnsi="Arial" w:cs="Arial"/>
          <w:sz w:val="20"/>
          <w:szCs w:val="20"/>
        </w:rPr>
        <w:t>Sofuoglu</w:t>
      </w:r>
      <w:proofErr w:type="spellEnd"/>
      <w:r w:rsidRPr="003063D3">
        <w:rPr>
          <w:rFonts w:ascii="Arial" w:eastAsia="Times New Roman" w:hAnsi="Arial" w:cs="Arial"/>
          <w:sz w:val="20"/>
          <w:szCs w:val="20"/>
        </w:rPr>
        <w:t xml:space="preserve">, cricketer Rahul </w:t>
      </w:r>
      <w:proofErr w:type="spellStart"/>
      <w:r w:rsidRPr="003063D3">
        <w:rPr>
          <w:rFonts w:ascii="Arial" w:eastAsia="Times New Roman" w:hAnsi="Arial" w:cs="Arial"/>
          <w:sz w:val="20"/>
          <w:szCs w:val="20"/>
        </w:rPr>
        <w:t>Dravid</w:t>
      </w:r>
      <w:proofErr w:type="spellEnd"/>
      <w:r w:rsidRPr="003063D3">
        <w:rPr>
          <w:rFonts w:ascii="Arial" w:eastAsia="Times New Roman" w:hAnsi="Arial" w:cs="Arial"/>
          <w:sz w:val="20"/>
          <w:szCs w:val="20"/>
        </w:rPr>
        <w:t>, and several NFL players.</w:t>
      </w:r>
    </w:p>
    <w:p w14:paraId="57CAFD63" w14:textId="56981AD5" w:rsidR="003063D3" w:rsidRPr="003063D3" w:rsidRDefault="003063D3" w:rsidP="003063D3">
      <w:pPr>
        <w:spacing w:after="360" w:line="360" w:lineRule="atLeast"/>
        <w:textAlignment w:val="baseline"/>
        <w:rPr>
          <w:rFonts w:ascii="Arial" w:eastAsia="Times New Roman" w:hAnsi="Arial" w:cs="Arial"/>
          <w:sz w:val="20"/>
          <w:szCs w:val="20"/>
        </w:rPr>
      </w:pPr>
      <w:r w:rsidRPr="003063D3">
        <w:rPr>
          <w:rFonts w:ascii="Arial" w:eastAsia="Times New Roman" w:hAnsi="Arial" w:cs="Arial"/>
          <w:sz w:val="20"/>
          <w:szCs w:val="20"/>
        </w:rPr>
        <w:t xml:space="preserve">While sports marketing is a critical element of Gillette’s marketing strategy, the brand aims to reach every man and therefore also aligns with musical acts, video games, and movies. In one James Bond film, </w:t>
      </w:r>
      <w:r w:rsidRPr="003063D3">
        <w:rPr>
          <w:rFonts w:ascii="Arial" w:eastAsia="Times New Roman" w:hAnsi="Arial" w:cs="Arial"/>
          <w:i/>
          <w:iCs/>
          <w:sz w:val="20"/>
          <w:szCs w:val="20"/>
          <w:bdr w:val="none" w:sz="0" w:space="0" w:color="auto" w:frame="1"/>
        </w:rPr>
        <w:t>Goldfinger</w:t>
      </w:r>
      <w:r w:rsidRPr="003063D3">
        <w:rPr>
          <w:rFonts w:ascii="Arial" w:eastAsia="Times New Roman" w:hAnsi="Arial" w:cs="Arial"/>
          <w:sz w:val="20"/>
          <w:szCs w:val="20"/>
        </w:rPr>
        <w:t>, a Gillette razor contained a homing device.</w:t>
      </w:r>
    </w:p>
    <w:p w14:paraId="21679762" w14:textId="77777777" w:rsidR="003063D3" w:rsidRPr="003063D3" w:rsidRDefault="003063D3" w:rsidP="003063D3">
      <w:pPr>
        <w:spacing w:after="0" w:line="360" w:lineRule="atLeast"/>
        <w:textAlignment w:val="baseline"/>
        <w:rPr>
          <w:rFonts w:ascii="Arial" w:eastAsia="Times New Roman" w:hAnsi="Arial" w:cs="Arial"/>
          <w:sz w:val="20"/>
          <w:szCs w:val="20"/>
        </w:rPr>
      </w:pPr>
      <w:r w:rsidRPr="003063D3">
        <w:rPr>
          <w:rFonts w:ascii="Arial" w:eastAsia="Times New Roman" w:hAnsi="Arial" w:cs="Arial"/>
          <w:sz w:val="20"/>
          <w:szCs w:val="20"/>
        </w:rPr>
        <w:t>Gillette’s advertising has resonated well with consumers over the years and left behind some of the most familiar taglines in advertising history. Two of the best known are “Look Sharp, Feel Sharp” and the current “The Best a Man Can Get.”</w:t>
      </w:r>
    </w:p>
    <w:p w14:paraId="1E274AF8" w14:textId="1BD89FD3" w:rsidR="003063D3" w:rsidRPr="003063D3" w:rsidRDefault="003063D3" w:rsidP="003063D3">
      <w:pPr>
        <w:spacing w:after="360" w:line="360" w:lineRule="atLeast"/>
        <w:textAlignment w:val="baseline"/>
        <w:rPr>
          <w:rFonts w:ascii="Arial" w:eastAsia="Times New Roman" w:hAnsi="Arial" w:cs="Arial"/>
          <w:sz w:val="20"/>
          <w:szCs w:val="20"/>
        </w:rPr>
      </w:pPr>
      <w:r w:rsidRPr="003063D3">
        <w:rPr>
          <w:rFonts w:ascii="Arial" w:eastAsia="Times New Roman" w:hAnsi="Arial" w:cs="Arial"/>
          <w:sz w:val="20"/>
          <w:szCs w:val="20"/>
        </w:rPr>
        <w:t>When Procter &amp; Gamble acquired Gillette in 2005 for $57 billion (a record 5-times sales), it aimed to gain more than sales and profit. P&amp;G, an expert on marketing to women, wanted to learn about marketing to men on a global scale, and no one tops Gillette. Today, shaving and grooming make up 9 percent of P&amp;G’s total revenues, and razors are one of its most profitable businesses, with operating margins of 31 percent.</w:t>
      </w:r>
    </w:p>
    <w:p w14:paraId="7C46895F" w14:textId="77777777" w:rsidR="003063D3" w:rsidRPr="003063D3" w:rsidRDefault="003063D3" w:rsidP="003063D3">
      <w:pPr>
        <w:spacing w:after="360" w:line="360" w:lineRule="atLeast"/>
        <w:textAlignment w:val="baseline"/>
        <w:rPr>
          <w:rFonts w:ascii="Arial" w:eastAsia="Times New Roman" w:hAnsi="Arial" w:cs="Arial"/>
          <w:sz w:val="20"/>
          <w:szCs w:val="20"/>
        </w:rPr>
      </w:pPr>
      <w:r w:rsidRPr="003063D3">
        <w:rPr>
          <w:rFonts w:ascii="Arial" w:eastAsia="Times New Roman" w:hAnsi="Arial" w:cs="Arial"/>
          <w:sz w:val="20"/>
          <w:szCs w:val="20"/>
        </w:rPr>
        <w:t xml:space="preserve">Kotler, P., &amp; Keller, K. L. (2016). Marketing management [VitalSource Bookshelf version] (15th ed.). Retrieved from https://online.vitalsource.com/#/books/9781323591512 </w:t>
      </w:r>
    </w:p>
    <w:p w14:paraId="39110709" w14:textId="77777777" w:rsidR="003063D3" w:rsidRPr="003063D3" w:rsidRDefault="003063D3" w:rsidP="003063D3">
      <w:pPr>
        <w:spacing w:after="360" w:line="360" w:lineRule="atLeast"/>
        <w:textAlignment w:val="baseline"/>
        <w:rPr>
          <w:rFonts w:ascii="Arial" w:eastAsia="Times New Roman" w:hAnsi="Arial" w:cs="Arial"/>
          <w:sz w:val="20"/>
          <w:szCs w:val="20"/>
        </w:rPr>
      </w:pPr>
      <w:r w:rsidRPr="003063D3">
        <w:rPr>
          <w:rFonts w:ascii="Arial" w:eastAsia="Times New Roman" w:hAnsi="Arial" w:cs="Arial"/>
          <w:sz w:val="20"/>
          <w:szCs w:val="20"/>
        </w:rPr>
        <w:t xml:space="preserve"> </w:t>
      </w:r>
    </w:p>
    <w:p w14:paraId="6078143A" w14:textId="77777777" w:rsidR="003063D3" w:rsidRPr="003063D3" w:rsidRDefault="003063D3" w:rsidP="003063D3">
      <w:pPr>
        <w:spacing w:after="360" w:line="360" w:lineRule="atLeast"/>
        <w:textAlignment w:val="baseline"/>
        <w:rPr>
          <w:rFonts w:ascii="Arial" w:eastAsia="Times New Roman" w:hAnsi="Arial" w:cs="Arial"/>
          <w:sz w:val="20"/>
          <w:szCs w:val="20"/>
        </w:rPr>
      </w:pPr>
    </w:p>
    <w:p w14:paraId="16E7E497" w14:textId="77777777" w:rsidR="003063D3" w:rsidRPr="003063D3" w:rsidRDefault="003063D3" w:rsidP="003063D3">
      <w:pPr>
        <w:rPr>
          <w:rFonts w:ascii="Arial" w:hAnsi="Arial" w:cs="Arial"/>
          <w:sz w:val="20"/>
          <w:szCs w:val="20"/>
        </w:rPr>
      </w:pPr>
    </w:p>
    <w:p w14:paraId="53A58052" w14:textId="77777777" w:rsidR="003063D3" w:rsidRPr="003063D3" w:rsidRDefault="003063D3">
      <w:pPr>
        <w:rPr>
          <w:rFonts w:ascii="Arial" w:hAnsi="Arial" w:cs="Arial"/>
          <w:sz w:val="20"/>
          <w:szCs w:val="20"/>
        </w:rPr>
      </w:pPr>
    </w:p>
    <w:sectPr w:rsidR="003063D3" w:rsidRPr="003063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E6680"/>
    <w:multiLevelType w:val="multilevel"/>
    <w:tmpl w:val="3704F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3B1E9B"/>
    <w:multiLevelType w:val="multilevel"/>
    <w:tmpl w:val="BE62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47"/>
    <w:rsid w:val="0001039B"/>
    <w:rsid w:val="00135447"/>
    <w:rsid w:val="003063D3"/>
    <w:rsid w:val="00475C4F"/>
    <w:rsid w:val="004E33F4"/>
    <w:rsid w:val="005833F3"/>
    <w:rsid w:val="006F5403"/>
    <w:rsid w:val="007142A0"/>
    <w:rsid w:val="00934A9B"/>
    <w:rsid w:val="00981484"/>
    <w:rsid w:val="00986A28"/>
    <w:rsid w:val="00D365D3"/>
    <w:rsid w:val="00DB64F4"/>
    <w:rsid w:val="00E6513B"/>
    <w:rsid w:val="00F263BF"/>
    <w:rsid w:val="00FF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4CB16"/>
  <w15:chartTrackingRefBased/>
  <w15:docId w15:val="{C559A47B-437A-4047-B524-CC01303CC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63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signmentbuttonline">
    <w:name w:val="assignmentbuttonline"/>
    <w:basedOn w:val="Normal"/>
    <w:rsid w:val="003063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063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97152">
      <w:bodyDiv w:val="1"/>
      <w:marLeft w:val="0"/>
      <w:marRight w:val="0"/>
      <w:marTop w:val="0"/>
      <w:marBottom w:val="0"/>
      <w:divBdr>
        <w:top w:val="none" w:sz="0" w:space="0" w:color="auto"/>
        <w:left w:val="none" w:sz="0" w:space="0" w:color="auto"/>
        <w:bottom w:val="none" w:sz="0" w:space="0" w:color="auto"/>
        <w:right w:val="none" w:sz="0" w:space="0" w:color="auto"/>
      </w:divBdr>
    </w:div>
    <w:div w:id="211042931">
      <w:bodyDiv w:val="1"/>
      <w:marLeft w:val="0"/>
      <w:marRight w:val="0"/>
      <w:marTop w:val="0"/>
      <w:marBottom w:val="0"/>
      <w:divBdr>
        <w:top w:val="none" w:sz="0" w:space="0" w:color="auto"/>
        <w:left w:val="none" w:sz="0" w:space="0" w:color="auto"/>
        <w:bottom w:val="none" w:sz="0" w:space="0" w:color="auto"/>
        <w:right w:val="none" w:sz="0" w:space="0" w:color="auto"/>
      </w:divBdr>
    </w:div>
    <w:div w:id="1155335002">
      <w:bodyDiv w:val="1"/>
      <w:marLeft w:val="0"/>
      <w:marRight w:val="0"/>
      <w:marTop w:val="0"/>
      <w:marBottom w:val="0"/>
      <w:divBdr>
        <w:top w:val="none" w:sz="0" w:space="0" w:color="auto"/>
        <w:left w:val="none" w:sz="0" w:space="0" w:color="auto"/>
        <w:bottom w:val="none" w:sz="0" w:space="0" w:color="auto"/>
        <w:right w:val="none" w:sz="0" w:space="0" w:color="auto"/>
      </w:divBdr>
      <w:divsChild>
        <w:div w:id="512037429">
          <w:marLeft w:val="0"/>
          <w:marRight w:val="0"/>
          <w:marTop w:val="0"/>
          <w:marBottom w:val="0"/>
          <w:divBdr>
            <w:top w:val="none" w:sz="0" w:space="0" w:color="auto"/>
            <w:left w:val="none" w:sz="0" w:space="0" w:color="auto"/>
            <w:bottom w:val="none" w:sz="0" w:space="0" w:color="auto"/>
            <w:right w:val="none" w:sz="0" w:space="0" w:color="auto"/>
          </w:divBdr>
        </w:div>
        <w:div w:id="225798736">
          <w:marLeft w:val="0"/>
          <w:marRight w:val="0"/>
          <w:marTop w:val="0"/>
          <w:marBottom w:val="0"/>
          <w:divBdr>
            <w:top w:val="none" w:sz="0" w:space="0" w:color="auto"/>
            <w:left w:val="none" w:sz="0" w:space="0" w:color="auto"/>
            <w:bottom w:val="none" w:sz="0" w:space="0" w:color="auto"/>
            <w:right w:val="none" w:sz="0" w:space="0" w:color="auto"/>
          </w:divBdr>
        </w:div>
        <w:div w:id="758720241">
          <w:marLeft w:val="0"/>
          <w:marRight w:val="0"/>
          <w:marTop w:val="0"/>
          <w:marBottom w:val="0"/>
          <w:divBdr>
            <w:top w:val="none" w:sz="0" w:space="0" w:color="auto"/>
            <w:left w:val="none" w:sz="0" w:space="0" w:color="auto"/>
            <w:bottom w:val="none" w:sz="0" w:space="0" w:color="auto"/>
            <w:right w:val="none" w:sz="0" w:space="0" w:color="auto"/>
          </w:divBdr>
        </w:div>
        <w:div w:id="182129342">
          <w:marLeft w:val="0"/>
          <w:marRight w:val="0"/>
          <w:marTop w:val="0"/>
          <w:marBottom w:val="0"/>
          <w:divBdr>
            <w:top w:val="none" w:sz="0" w:space="0" w:color="auto"/>
            <w:left w:val="none" w:sz="0" w:space="0" w:color="auto"/>
            <w:bottom w:val="none" w:sz="0" w:space="0" w:color="auto"/>
            <w:right w:val="none" w:sz="0" w:space="0" w:color="auto"/>
          </w:divBdr>
        </w:div>
        <w:div w:id="146166181">
          <w:marLeft w:val="0"/>
          <w:marRight w:val="0"/>
          <w:marTop w:val="0"/>
          <w:marBottom w:val="0"/>
          <w:divBdr>
            <w:top w:val="none" w:sz="0" w:space="0" w:color="auto"/>
            <w:left w:val="none" w:sz="0" w:space="0" w:color="auto"/>
            <w:bottom w:val="none" w:sz="0" w:space="0" w:color="auto"/>
            <w:right w:val="none" w:sz="0" w:space="0" w:color="auto"/>
          </w:divBdr>
        </w:div>
      </w:divsChild>
    </w:div>
    <w:div w:id="170636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1255</Words>
  <Characters>7158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2018-11-13T17:54:00Z</dcterms:created>
  <dcterms:modified xsi:type="dcterms:W3CDTF">2018-11-13T17:54:00Z</dcterms:modified>
</cp:coreProperties>
</file>